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8E7771">
        <w:rPr>
          <w:rFonts w:ascii="Times New Roman CYR" w:hAnsi="Times New Roman CYR"/>
          <w:szCs w:val="28"/>
        </w:rPr>
        <w:t>ТОРГОВОЕ</w:t>
      </w:r>
      <w:r>
        <w:rPr>
          <w:rFonts w:ascii="Times New Roman CYR" w:hAnsi="Times New Roman CYR"/>
          <w:szCs w:val="28"/>
        </w:rPr>
        <w:t xml:space="preserve"> ПРАВО»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8E7771">
        <w:rPr>
          <w:rFonts w:ascii="Times New Roman CYR" w:hAnsi="Times New Roman CYR"/>
          <w:lang w:eastAsia="ru-RU"/>
        </w:rPr>
        <w:t>Торговое</w:t>
      </w:r>
      <w:r w:rsidRPr="00A83350">
        <w:rPr>
          <w:rFonts w:ascii="Times New Roman CYR" w:hAnsi="Times New Roman CYR"/>
          <w:lang w:eastAsia="ru-RU"/>
        </w:rPr>
        <w:t xml:space="preserve"> право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D52C32">
        <w:rPr>
          <w:rFonts w:ascii="Times New Roman CYR" w:hAnsi="Times New Roman CYR"/>
          <w:szCs w:val="23"/>
          <w:lang w:eastAsia="ru-RU"/>
        </w:rPr>
        <w:t>6</w:t>
      </w:r>
      <w:bookmarkStart w:id="0" w:name="_GoBack"/>
      <w:bookmarkEnd w:id="0"/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4A714C" w:rsidRPr="001524A0" w:rsidRDefault="004A714C" w:rsidP="004A714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1. Понятие и предмет регулирования коммерческого права. Принципы коммерческого права.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2. Коммерческие отношения.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3. Источники КП. Характеристика современного торгового законодательства России.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4. Понятие субъекта торговой деятельности. Виды субъектов коммерческого права.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5. Организаторы товарного рынка.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6. Оптовые торговые и посреднические организации.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7. Понятие и виды объектов торгового права. Товарораспорядительные до</w:t>
      </w:r>
      <w:r>
        <w:rPr>
          <w:szCs w:val="28"/>
        </w:rPr>
        <w:t>ку</w:t>
      </w:r>
      <w:r w:rsidRPr="004D2548">
        <w:rPr>
          <w:szCs w:val="28"/>
        </w:rPr>
        <w:t>менты.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8. Классификация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9. Правовой режим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10. Способы обособления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11. Формирование структуры и инфраструктуры  товарного рынка.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12. Правовое обеспечение конкуренции на то</w:t>
      </w:r>
      <w:r>
        <w:rPr>
          <w:szCs w:val="28"/>
        </w:rPr>
        <w:t>варном рынке (понятие и социаль</w:t>
      </w:r>
      <w:r w:rsidRPr="004D2548">
        <w:rPr>
          <w:szCs w:val="28"/>
        </w:rPr>
        <w:t>но-экономическая роль конкуренции; способы создания конкурентной среды в торговле; защита конкуренции).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13. Сущность договора. Отличительные черты коммерческих договоров.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14. Классификация коммерческих договоров.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15. Составные обязательства.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16. Правовое регулирование заключения договоров.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17. Урегулирование разногласий по заключаемым договорам.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18. Способы заключения торговых договоров.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19. Долгосрочные договоры: особенности заключения, содержание.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20. Случаи и порядок обязательного заключения договоров в торговом обороте.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21. Заключение договоров в сети ИНТЕРНЕТ.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22. Изменение и расторжение договоров.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23. Договоры оптовой купли-продажи и поставки.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24. Договор контрактации сельскохозяйственной продукции.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25. Поставка товаров для государственных нужд.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26. Структура договорных связей.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27. Порядок определения условий договоров.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28. Предмет договора, ассортимент, сроки и порядок отгрузки.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lastRenderedPageBreak/>
        <w:t>29. Определение в договоре качества товаро</w:t>
      </w:r>
      <w:r>
        <w:rPr>
          <w:szCs w:val="28"/>
        </w:rPr>
        <w:t>в. Документы, удостоверяющие ка</w:t>
      </w:r>
      <w:r w:rsidRPr="004D2548">
        <w:rPr>
          <w:szCs w:val="28"/>
        </w:rPr>
        <w:t>чество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30. Установление в договоре цен на товары.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31. Правовое регулирование и способы расчётов за товары.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32. Расчеты наличными деньгами.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33. Порядок осуществления безналичных расчетов.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34. Торговое посредничество и представительство (понятие, правовое регулирование).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35. Договор комиссии (консигнации).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36. Коммерческое поручение (договор поручения в торговле).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37. Договор торгового агентирования.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38. Дистрибьюторские контракты. Договоры на исключительную продажу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39. Договор на проведение маркетинговых исследований.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40. Договоры на создание рекламной продукции и на распространение рекламы.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41. Договоры на предоставление коммерческой информац</w:t>
      </w:r>
      <w:proofErr w:type="gramStart"/>
      <w:r w:rsidRPr="004D2548">
        <w:rPr>
          <w:szCs w:val="28"/>
        </w:rPr>
        <w:t>ии и ее</w:t>
      </w:r>
      <w:proofErr w:type="gramEnd"/>
      <w:r w:rsidRPr="004D2548">
        <w:rPr>
          <w:szCs w:val="28"/>
        </w:rPr>
        <w:t xml:space="preserve"> переработку.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42. Договор хранения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43. Договор страхования в торговом обороте.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44. Договор коммерческой франшизы.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45. Договор транспортной экспедиции.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46. Договор перевозки грузов.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47. Определение условий перевозки. Соглас</w:t>
      </w:r>
      <w:r>
        <w:rPr>
          <w:szCs w:val="28"/>
        </w:rPr>
        <w:t>ование объёмов и организации пе</w:t>
      </w:r>
      <w:r w:rsidRPr="004D2548">
        <w:rPr>
          <w:szCs w:val="28"/>
        </w:rPr>
        <w:t>ревозок.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48. Сдача товаров к перевозке и их получен</w:t>
      </w:r>
      <w:r>
        <w:rPr>
          <w:szCs w:val="28"/>
        </w:rPr>
        <w:t>ие. Документы, оформляющие пере</w:t>
      </w:r>
      <w:r w:rsidRPr="004D2548">
        <w:rPr>
          <w:szCs w:val="28"/>
        </w:rPr>
        <w:t>возку грузов.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49. Централизованная доставка грузов автотранспортом.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50. Обеспечение и удостоверение сохранности грузов при перевозке.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51. Ответственность транспортных организаций.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52. Сущность и основные виды организационных договоров в торговле.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53. Соглашение о межрегиональных поставках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54. Соглашение органов исполнительной власти и местного самоуправления с производственными и торговыми организациями по в</w:t>
      </w:r>
      <w:r>
        <w:rPr>
          <w:szCs w:val="28"/>
        </w:rPr>
        <w:t>опросам хозяйственной деятельно</w:t>
      </w:r>
      <w:r w:rsidRPr="004D2548">
        <w:rPr>
          <w:szCs w:val="28"/>
        </w:rPr>
        <w:t>сти.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55. Сущность и виды ответственности за нарушение торговых обязательств.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56. Условия применения ответственности.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57. Основания освобождения от ответственности.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58. Правовое регулирование приёмки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59. Порядок приёмки товаров по количеству.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60. Порядок приёмки товаров по качеству.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61. Приемка импортных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lastRenderedPageBreak/>
        <w:t>62. Экспертиза качества товаров.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63. Правовой статус потребителя в торговом обороте.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64. Право потребителя на информацию о продавце (изготовителе) и товаре.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65. Права потребителя при продаже товара н</w:t>
      </w:r>
      <w:r>
        <w:rPr>
          <w:szCs w:val="28"/>
        </w:rPr>
        <w:t>енадлежащего качества. Права по</w:t>
      </w:r>
      <w:r w:rsidRPr="004D2548">
        <w:rPr>
          <w:szCs w:val="28"/>
        </w:rPr>
        <w:t>требителя при продаже товара надлежащего качества.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66. Способы защиты прав потребителей.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67. Понятие, виды и методы управления коммерческими рисками.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68. Страхование коммерческих рисков. Морское страхование.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69. Хеджирование.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 xml:space="preserve">70. Понятие внешнеторговой деятельности и </w:t>
      </w:r>
      <w:r>
        <w:rPr>
          <w:szCs w:val="28"/>
        </w:rPr>
        <w:t>система ее правового регулирова</w:t>
      </w:r>
      <w:r w:rsidRPr="004D2548">
        <w:rPr>
          <w:szCs w:val="28"/>
        </w:rPr>
        <w:t>ния. Методы государственного регулирования внешнеторговой деятельности.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71. Защита экономических интересов Росси</w:t>
      </w:r>
      <w:r>
        <w:rPr>
          <w:szCs w:val="28"/>
        </w:rPr>
        <w:t>и при осуществлении внешнеторго</w:t>
      </w:r>
      <w:r w:rsidRPr="004D2548">
        <w:rPr>
          <w:szCs w:val="28"/>
        </w:rPr>
        <w:t>вой деятельности (специальные защитные, антидемпинговые и компенсационные меры).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72. Особые режимы осуществления внешнет</w:t>
      </w:r>
      <w:r>
        <w:rPr>
          <w:szCs w:val="28"/>
        </w:rPr>
        <w:t>орговой деятельности (пригранич</w:t>
      </w:r>
      <w:r w:rsidRPr="004D2548">
        <w:rPr>
          <w:szCs w:val="28"/>
        </w:rPr>
        <w:t>ная торговля, режим хозяйственной деятельности особых экономических зон).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73. Договор международной купли-продажи товаров (Венская конвенция 1980 г.)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74. ИНКОТЕРМС-2000 года.</w:t>
      </w:r>
    </w:p>
    <w:p w:rsidR="008E7771" w:rsidRPr="004D2548" w:rsidRDefault="008E7771" w:rsidP="008E7771">
      <w:pPr>
        <w:spacing w:line="240" w:lineRule="auto"/>
        <w:rPr>
          <w:szCs w:val="28"/>
        </w:rPr>
      </w:pPr>
      <w:r w:rsidRPr="004D2548">
        <w:rPr>
          <w:szCs w:val="28"/>
        </w:rPr>
        <w:t>75. Конфиденциальная информация и коммерческая тайна: понятие, правовая защита.</w:t>
      </w:r>
    </w:p>
    <w:p w:rsidR="00BF4985" w:rsidRPr="008923D7" w:rsidRDefault="00BF4985" w:rsidP="00BF4985">
      <w:pPr>
        <w:rPr>
          <w:szCs w:val="28"/>
        </w:rPr>
      </w:pPr>
    </w:p>
    <w:p w:rsidR="00AA4126" w:rsidRDefault="00AA4126" w:rsidP="004A714C"/>
    <w:p w:rsidR="00816496" w:rsidRPr="009D344B" w:rsidRDefault="00816496" w:rsidP="00816496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1" w:name="_Toc149688209"/>
      <w:bookmarkStart w:id="2" w:name="_Toc149688265"/>
      <w:bookmarkStart w:id="3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:rsidR="00816496" w:rsidRDefault="00816496" w:rsidP="00816496">
      <w:pPr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57"/>
        <w:gridCol w:w="1751"/>
        <w:gridCol w:w="3691"/>
        <w:gridCol w:w="2175"/>
        <w:gridCol w:w="1347"/>
      </w:tblGrid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</w:rPr>
              <w:t>. УЧЕБНО-МЕТОДИЧЕСКОЕ И ИНФОРМАЦИОННОЕ ОБЕСПЕЧЕНИЕ ДИСЦИПЛИНЫ (МОДУЛЯ)</w:t>
            </w:r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.1.1.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52C32" w:rsidRPr="00D52C32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Бойкова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О.С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Торговое право (2-е издание):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, Ай Пи Эр Медиа,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Пятин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С.Ю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 (2-е издание):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, Ай Пи Эр Медиа,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Пятин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С.Ю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, Ай Пи Эр Медиа,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.1.2.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52C32" w:rsidRPr="00D52C32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Бабурин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С.Н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Герасимова,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Л.П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.,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Суняев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Ю.В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Коммерческое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Саратов: Корпорация «Диполь», Ай Пи Эр Медиа,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lastRenderedPageBreak/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Курбанов,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Р.А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.,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Эриашвили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Н.Д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Айдарбаев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С.Ж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., Алиев,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А.Ч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Международное торговое право в государствах Кавказа, Центральной Азии и в России: сборник научных трудов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Статут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.1.3.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52C32" w:rsidRPr="00D52C32" w:rsidTr="00D24BF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gram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у</w:t>
            </w:r>
            <w:proofErr w:type="gram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Ростов н/Д.: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ИЦ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ДГТУ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</w:rPr>
              <w:t>.2. Перечень ресурсов информационно-телекоммуникационной сети "Интернет"</w:t>
            </w:r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iprbookshop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», "Университетская библиотека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online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", 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</w:p>
        </w:tc>
      </w:tr>
      <w:tr w:rsidR="00D52C32" w:rsidRPr="00D52C32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Научно-техническая библиотека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ДГТУ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ntb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donstu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.3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технологий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.3.1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D52C32" w:rsidRPr="00D52C32" w:rsidTr="00D24BF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</w:rPr>
              <w:t>.3.2 Перечень информационных справочных систем, профессиональные базы данных</w:t>
            </w:r>
          </w:p>
        </w:tc>
      </w:tr>
      <w:tr w:rsidR="00D52C32" w:rsidRPr="00D52C32" w:rsidTr="00D24BF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consultant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СПС "Консультант+"</w:t>
            </w:r>
          </w:p>
        </w:tc>
      </w:tr>
      <w:tr w:rsidR="00D52C32" w:rsidRPr="00D52C32" w:rsidTr="00D24BF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garant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СПС "Гарант"</w:t>
            </w:r>
          </w:p>
        </w:tc>
      </w:tr>
      <w:tr w:rsidR="00D52C32" w:rsidRPr="00D52C32" w:rsidTr="00D24BF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ecsocman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hse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Федеральный образовательный портал "Экономика.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Социология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Менеджмент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"</w:t>
            </w:r>
          </w:p>
        </w:tc>
      </w:tr>
      <w:tr w:rsidR="00D52C32" w:rsidRPr="00D52C32" w:rsidTr="00D24BF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institutiones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Экономический портал</w:t>
            </w:r>
          </w:p>
        </w:tc>
      </w:tr>
      <w:tr w:rsidR="00D52C32" w:rsidRPr="00D52C32" w:rsidTr="00D24BF3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C32" w:rsidRPr="00D52C32" w:rsidRDefault="00D52C32" w:rsidP="00D52C32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rostov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rbc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Информационная система "</w:t>
            </w:r>
            <w:proofErr w:type="spellStart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РосБизнесКонсалтинг</w:t>
            </w:r>
            <w:proofErr w:type="spellEnd"/>
            <w:r w:rsidRPr="00D52C32">
              <w:rPr>
                <w:rFonts w:eastAsiaTheme="minorEastAsia"/>
                <w:color w:val="000000"/>
                <w:sz w:val="19"/>
                <w:szCs w:val="19"/>
              </w:rPr>
              <w:t>"</w:t>
            </w:r>
          </w:p>
        </w:tc>
      </w:tr>
    </w:tbl>
    <w:p w:rsidR="00816496" w:rsidRPr="004A714C" w:rsidRDefault="00816496" w:rsidP="00E30802">
      <w:pPr>
        <w:ind w:firstLine="0"/>
      </w:pPr>
    </w:p>
    <w:sectPr w:rsidR="00816496" w:rsidRPr="004A714C" w:rsidSect="003124C8">
      <w:footerReference w:type="default" r:id="rId9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70" w:rsidRDefault="00952070">
      <w:pPr>
        <w:spacing w:line="240" w:lineRule="auto"/>
      </w:pPr>
      <w:r>
        <w:separator/>
      </w:r>
    </w:p>
  </w:endnote>
  <w:endnote w:type="continuationSeparator" w:id="0">
    <w:p w:rsidR="00952070" w:rsidRDefault="00952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540818"/>
      <w:docPartObj>
        <w:docPartGallery w:val="Page Numbers (Bottom of Page)"/>
        <w:docPartUnique/>
      </w:docPartObj>
    </w:sdtPr>
    <w:sdtEndPr/>
    <w:sdtContent>
      <w:p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771">
          <w:rPr>
            <w:noProof/>
          </w:rPr>
          <w:t>5</w:t>
        </w:r>
        <w:r>
          <w:fldChar w:fldCharType="end"/>
        </w:r>
      </w:p>
    </w:sdtContent>
  </w:sdt>
  <w:p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C32">
          <w:rPr>
            <w:noProof/>
          </w:rPr>
          <w:t>3</w:t>
        </w:r>
        <w:r>
          <w:fldChar w:fldCharType="end"/>
        </w:r>
      </w:p>
    </w:sdtContent>
  </w:sdt>
  <w:p w:rsidR="003124C8" w:rsidRDefault="0095207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70" w:rsidRDefault="00952070">
      <w:pPr>
        <w:spacing w:line="240" w:lineRule="auto"/>
      </w:pPr>
      <w:r>
        <w:separator/>
      </w:r>
    </w:p>
  </w:footnote>
  <w:footnote w:type="continuationSeparator" w:id="0">
    <w:p w:rsidR="00952070" w:rsidRDefault="009520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270FCA"/>
    <w:rsid w:val="0030330A"/>
    <w:rsid w:val="003970A7"/>
    <w:rsid w:val="00461951"/>
    <w:rsid w:val="004A714C"/>
    <w:rsid w:val="004B1A7A"/>
    <w:rsid w:val="00697DEB"/>
    <w:rsid w:val="0074533B"/>
    <w:rsid w:val="00762234"/>
    <w:rsid w:val="007B7A19"/>
    <w:rsid w:val="00816496"/>
    <w:rsid w:val="008C50C2"/>
    <w:rsid w:val="008E7771"/>
    <w:rsid w:val="00952070"/>
    <w:rsid w:val="00AA4126"/>
    <w:rsid w:val="00AF3148"/>
    <w:rsid w:val="00B64C11"/>
    <w:rsid w:val="00B956D1"/>
    <w:rsid w:val="00BF4985"/>
    <w:rsid w:val="00C53C05"/>
    <w:rsid w:val="00CA1B1F"/>
    <w:rsid w:val="00D52C32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2020-09-13T11:57:00Z</dcterms:created>
  <dcterms:modified xsi:type="dcterms:W3CDTF">2020-09-13T16:33:00Z</dcterms:modified>
</cp:coreProperties>
</file>